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33" w:rsidRPr="000756A8" w:rsidRDefault="003F4333" w:rsidP="003F4333">
      <w:pPr>
        <w:widowControl/>
        <w:spacing w:before="120" w:line="400" w:lineRule="exact"/>
        <w:jc w:val="center"/>
        <w:rPr>
          <w:rFonts w:asciiTheme="minorEastAsia" w:hAnsiTheme="minorEastAsia"/>
          <w:bCs/>
          <w:szCs w:val="28"/>
        </w:rPr>
      </w:pPr>
      <w:r w:rsidRPr="000756A8">
        <w:rPr>
          <w:rFonts w:asciiTheme="minorEastAsia" w:hAnsiTheme="minorEastAsia"/>
          <w:sz w:val="28"/>
          <w:szCs w:val="32"/>
        </w:rPr>
        <w:t>中國文化大學全人學習護照實施要點</w:t>
      </w:r>
    </w:p>
    <w:p w:rsidR="003F4333" w:rsidRDefault="003F4333" w:rsidP="003F4333">
      <w:pPr>
        <w:adjustRightInd w:val="0"/>
        <w:snapToGrid w:val="0"/>
        <w:spacing w:line="240" w:lineRule="auto"/>
        <w:ind w:left="246" w:hangingChars="123" w:hanging="246"/>
        <w:jc w:val="right"/>
        <w:rPr>
          <w:rFonts w:asciiTheme="minorEastAsia" w:hAnsiTheme="minorEastAsia"/>
          <w:sz w:val="20"/>
          <w:szCs w:val="20"/>
        </w:rPr>
      </w:pPr>
    </w:p>
    <w:p w:rsidR="003F4333" w:rsidRPr="000756A8" w:rsidRDefault="003F4333" w:rsidP="003F4333">
      <w:pPr>
        <w:adjustRightInd w:val="0"/>
        <w:snapToGrid w:val="0"/>
        <w:spacing w:line="240" w:lineRule="auto"/>
        <w:ind w:left="246" w:hangingChars="123" w:hanging="246"/>
        <w:jc w:val="right"/>
        <w:rPr>
          <w:rFonts w:asciiTheme="minorEastAsia" w:hAnsiTheme="minorEastAsia"/>
          <w:sz w:val="20"/>
          <w:szCs w:val="20"/>
        </w:rPr>
      </w:pPr>
      <w:r w:rsidRPr="000756A8">
        <w:rPr>
          <w:rFonts w:asciiTheme="minorEastAsia" w:hAnsiTheme="minorEastAsia"/>
          <w:sz w:val="20"/>
          <w:szCs w:val="20"/>
        </w:rPr>
        <w:t>100</w:t>
      </w:r>
      <w:r w:rsidR="00A43A1B">
        <w:rPr>
          <w:rFonts w:asciiTheme="minorEastAsia" w:hAnsiTheme="minorEastAsia"/>
          <w:sz w:val="20"/>
          <w:szCs w:val="20"/>
        </w:rPr>
        <w:t>.</w:t>
      </w:r>
      <w:r w:rsidRPr="000756A8">
        <w:rPr>
          <w:rFonts w:asciiTheme="minorEastAsia" w:hAnsiTheme="minorEastAsia"/>
          <w:sz w:val="20"/>
          <w:szCs w:val="20"/>
        </w:rPr>
        <w:t>11</w:t>
      </w:r>
      <w:r w:rsidR="00A43A1B">
        <w:rPr>
          <w:rFonts w:asciiTheme="minorEastAsia" w:hAnsiTheme="minorEastAsia"/>
          <w:sz w:val="20"/>
          <w:szCs w:val="20"/>
        </w:rPr>
        <w:t>.0</w:t>
      </w:r>
      <w:r w:rsidRPr="000756A8">
        <w:rPr>
          <w:rFonts w:asciiTheme="minorEastAsia" w:hAnsiTheme="minorEastAsia"/>
          <w:sz w:val="20"/>
          <w:szCs w:val="20"/>
        </w:rPr>
        <w:t>2第1662次行政會議通過</w:t>
      </w:r>
    </w:p>
    <w:p w:rsidR="003F4333" w:rsidRDefault="003F4333" w:rsidP="003F4333">
      <w:pPr>
        <w:adjustRightInd w:val="0"/>
        <w:snapToGrid w:val="0"/>
        <w:spacing w:line="240" w:lineRule="auto"/>
        <w:ind w:left="246" w:hangingChars="123" w:hanging="246"/>
        <w:jc w:val="right"/>
        <w:rPr>
          <w:rFonts w:asciiTheme="minorEastAsia" w:hAnsiTheme="minorEastAsia"/>
          <w:sz w:val="20"/>
          <w:szCs w:val="20"/>
        </w:rPr>
      </w:pPr>
      <w:r w:rsidRPr="000756A8">
        <w:rPr>
          <w:rFonts w:asciiTheme="minorEastAsia" w:hAnsiTheme="minorEastAsia"/>
          <w:sz w:val="20"/>
          <w:szCs w:val="20"/>
        </w:rPr>
        <w:t>103</w:t>
      </w:r>
      <w:r w:rsidR="00A43A1B">
        <w:rPr>
          <w:rFonts w:asciiTheme="minorEastAsia" w:hAnsiTheme="minorEastAsia"/>
          <w:sz w:val="20"/>
          <w:szCs w:val="20"/>
        </w:rPr>
        <w:t>.</w:t>
      </w:r>
      <w:r w:rsidRPr="000756A8">
        <w:rPr>
          <w:rFonts w:asciiTheme="minorEastAsia" w:hAnsiTheme="minorEastAsia"/>
          <w:sz w:val="20"/>
          <w:szCs w:val="20"/>
        </w:rPr>
        <w:t>07</w:t>
      </w:r>
      <w:r w:rsidR="00A43A1B">
        <w:rPr>
          <w:rFonts w:asciiTheme="minorEastAsia" w:hAnsiTheme="minorEastAsia"/>
          <w:sz w:val="20"/>
          <w:szCs w:val="20"/>
        </w:rPr>
        <w:t>.</w:t>
      </w:r>
      <w:r w:rsidRPr="000756A8">
        <w:rPr>
          <w:rFonts w:asciiTheme="minorEastAsia" w:hAnsiTheme="minorEastAsia"/>
          <w:sz w:val="20"/>
          <w:szCs w:val="20"/>
        </w:rPr>
        <w:t>02第1696次行政會議修正通過</w:t>
      </w:r>
    </w:p>
    <w:p w:rsidR="003F4333" w:rsidRPr="000756A8" w:rsidRDefault="003F4333" w:rsidP="003F4333">
      <w:pPr>
        <w:adjustRightInd w:val="0"/>
        <w:snapToGrid w:val="0"/>
        <w:spacing w:line="240" w:lineRule="auto"/>
        <w:ind w:left="246" w:hangingChars="123" w:hanging="246"/>
        <w:jc w:val="right"/>
        <w:rPr>
          <w:rFonts w:asciiTheme="minorEastAsia" w:hAnsiTheme="minorEastAsia"/>
          <w:sz w:val="20"/>
          <w:szCs w:val="20"/>
        </w:rPr>
      </w:pPr>
      <w:r w:rsidRPr="000756A8">
        <w:rPr>
          <w:rFonts w:asciiTheme="minorEastAsia" w:hAnsiTheme="minorEastAsia"/>
          <w:sz w:val="20"/>
          <w:szCs w:val="20"/>
        </w:rPr>
        <w:t>108.04.10</w:t>
      </w:r>
      <w:r w:rsidRPr="000756A8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755</w:t>
      </w:r>
      <w:r w:rsidR="00A43A1B">
        <w:rPr>
          <w:rFonts w:asciiTheme="minorEastAsia" w:hAnsiTheme="minorEastAsia" w:hint="eastAsia"/>
          <w:sz w:val="20"/>
          <w:szCs w:val="20"/>
        </w:rPr>
        <w:t>次</w:t>
      </w:r>
      <w:r w:rsidRPr="000756A8">
        <w:rPr>
          <w:rFonts w:asciiTheme="minorEastAsia" w:hAnsiTheme="minorEastAsia" w:hint="eastAsia"/>
          <w:sz w:val="20"/>
          <w:szCs w:val="20"/>
        </w:rPr>
        <w:t>行政會議修正通過</w:t>
      </w:r>
    </w:p>
    <w:tbl>
      <w:tblPr>
        <w:tblStyle w:val="a5"/>
        <w:tblW w:w="51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898"/>
      </w:tblGrid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為落實全人學習護照（以下簡稱本護照）之推動，依據「中國文化大學全人學習護照實施辦法」第八條之規定，訂定</w:t>
            </w:r>
            <w:bookmarkStart w:id="0" w:name="_GoBack"/>
            <w:r w:rsidRPr="0097079F">
              <w:rPr>
                <w:rFonts w:asciiTheme="minorEastAsia" w:hAnsiTheme="minorEastAsia" w:hint="eastAsia"/>
                <w:szCs w:val="28"/>
              </w:rPr>
              <w:t>「中國文化大學全人學習護照實施要點」</w:t>
            </w:r>
            <w:bookmarkEnd w:id="0"/>
            <w:r w:rsidRPr="0097079F">
              <w:rPr>
                <w:rFonts w:asciiTheme="minorEastAsia" w:hAnsiTheme="minorEastAsia" w:hint="eastAsia"/>
                <w:szCs w:val="28"/>
              </w:rPr>
              <w:t>（以下簡稱本要點）。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依據中國文化大學全人學習護照實施辦法第五條規定，各項學習簽證活動認證標準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採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點數制，活動時間在4小時以內者得認證1至4點，4小時以上未滿8小時者得認證5至8點，8小時以上未滿16小時者得認證9至12點，超過16小時者得認證13至16點，單項活動以16點為限。各項活動認證點數，並得依重要性分為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校辦性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、跨校性、全國性及國際性等層級獲得外加點數，經學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務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處會同相關單位審核後公告。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97079F" w:rsidRDefault="003F4333" w:rsidP="0097079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各項學習簽證活動之類別，如下：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德育</w:t>
            </w:r>
            <w:r w:rsidRPr="0097079F">
              <w:rPr>
                <w:rFonts w:asciiTheme="minorEastAsia" w:hAnsiTheme="minorEastAsia" w:hint="eastAsia"/>
                <w:szCs w:val="28"/>
              </w:rPr>
              <w:t>簽證：含中華文化學習、課外服務學習活動及其他德育相關活動。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879" w:hanging="425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中華文化學習活動如中華文化講座、倫理與道德講座、中華文化體驗活動及其他各類中華文化學習活動。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879" w:hanging="425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課外服務學習活動如校園公共服務學習、社團與社區服務學習、志工服務活動及其他各類課外服務學習活動。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智育</w:t>
            </w:r>
            <w:r w:rsidRPr="0097079F">
              <w:rPr>
                <w:rFonts w:asciiTheme="minorEastAsia" w:hAnsiTheme="minorEastAsia" w:hint="eastAsia"/>
                <w:szCs w:val="28"/>
              </w:rPr>
              <w:t>簽證：含外語學習、資訊應用學習活動及其他智育相關活動。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外語學習活動如外語學習講座、外語學習活動、外語能力檢定考試及其他各類外語學習活動。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資訊應用學習活動如創新思維講座、創新思維活動、資訊應用講座、資訊應用研習活動、專業資訊講座、專業證照考試及其他各類資訊應用學習活動。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體育</w:t>
            </w:r>
            <w:r w:rsidRPr="0097079F">
              <w:rPr>
                <w:rFonts w:asciiTheme="minorEastAsia" w:hAnsiTheme="minorEastAsia" w:hint="eastAsia"/>
                <w:szCs w:val="28"/>
              </w:rPr>
              <w:t>簽證：含健康促進學習活動及其他體育相關活動，如健康促進體驗活動、健康促進研習課程、健康促進講座、體育競賽活動及其他各類健康促進學習活動。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群育</w:t>
            </w:r>
            <w:r w:rsidRPr="0097079F">
              <w:rPr>
                <w:rFonts w:asciiTheme="minorEastAsia" w:hAnsiTheme="minorEastAsia" w:hint="eastAsia"/>
                <w:szCs w:val="28"/>
              </w:rPr>
              <w:t>簽證：含國際視野學習、團隊學習活動及其他群育相關活動。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國際視野學習活動如國際移地學習、國際學術交流、校園國際化活動、兩岸交流學習及其他各類國際視野學習活動。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團隊學習活動如社團活動、班級經營活動、團隊合作研習活動及其他各類團隊學習活動。</w:t>
            </w:r>
          </w:p>
          <w:p w:rsidR="003F4333" w:rsidRPr="0097079F" w:rsidRDefault="003F4333" w:rsidP="0097079F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asciiTheme="minorEastAsia" w:hAnsiTheme="minorEastAsia"/>
                <w:szCs w:val="28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美育</w:t>
            </w:r>
            <w:r w:rsidRPr="00611AFE">
              <w:rPr>
                <w:rFonts w:asciiTheme="minorEastAsia" w:hAnsiTheme="minorEastAsia" w:hint="eastAsia"/>
                <w:szCs w:val="28"/>
              </w:rPr>
              <w:t>簽</w:t>
            </w:r>
            <w:r w:rsidRPr="0097079F">
              <w:rPr>
                <w:rFonts w:asciiTheme="minorEastAsia" w:hAnsiTheme="minorEastAsia" w:hint="eastAsia"/>
                <w:szCs w:val="28"/>
              </w:rPr>
              <w:t>證：含藝文學習活動及其他美育相關活動，如藝文講座、藝文活動、藝文展演其他各類有關藝文學習活動。</w:t>
            </w:r>
          </w:p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lastRenderedPageBreak/>
              <w:t>上列各項學習簽證活動之認證類別，經學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務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處會同相關單位審核後公告；活動內容及其認證點數，每學期另行公告。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學習簽證認可之校內學習活動，除課外服務學習、團隊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學習與移地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學習等部份校外活動場域授權學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務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處會同相關單位認證外，須於本校各校區、館樓內舉行，且須設有簽到處。</w:t>
            </w:r>
          </w:p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學生取得專業證照或參與校外活動進行登錄，須檢附出席證明、參與照片、票根或其他佐證資料及學習心得提出申請，學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務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處得依照上述各項學習簽證認證原則核定點數。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學習簽證認證方式，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採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電子簽到方式為主，補登錄為輔。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備有電子簽到設備及權限之活動辦理單位，活動前於活動登錄系統中完成活動建置、活動公告、報名連動後，電子報到資料將自動批次完成登錄。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未採用連動電子報到之活動，活動辦理單位須於活動結束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一週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內完成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學號補登錄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有下列情形之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一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者，不予登錄學習活動至學習護照：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454" w:hanging="454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不符合全人學習護照認證範圍。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454" w:hanging="454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活動辦理單位未提供舉辦資訊。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454" w:hanging="454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登錄逾期，經催告活動辦理單位仍未辦理補登錄。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454" w:hanging="454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簽到資料不全、學號錯誤、或字跡難以辨識者。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454" w:hanging="454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學生參與活動時不具有本校正式學籍者。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每項學習簽證活動認證標準至少須達18點，方取得該項學習簽證認證</w:t>
            </w:r>
            <w:r w:rsidRPr="0097079F">
              <w:rPr>
                <w:rFonts w:asciiTheme="minorEastAsia" w:hAnsiTheme="minorEastAsia" w:hint="eastAsia"/>
                <w:szCs w:val="28"/>
              </w:rPr>
              <w:t>。學習簽證認證分為5等級，達到18點（含）者為普級；40點（含）者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為銅級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；60點（含）者為銀級；80點（含）者為金級；100點（含）以上者為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達人級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，對</w:t>
            </w:r>
            <w:r w:rsidRPr="0097079F">
              <w:rPr>
                <w:rFonts w:asciiTheme="minorEastAsia" w:hAnsiTheme="minorEastAsia"/>
                <w:szCs w:val="28"/>
              </w:rPr>
              <w:t>於</w:t>
            </w:r>
            <w:r w:rsidRPr="0097079F">
              <w:rPr>
                <w:rFonts w:asciiTheme="minorEastAsia" w:hAnsiTheme="minorEastAsia" w:hint="eastAsia"/>
                <w:szCs w:val="28"/>
              </w:rPr>
              <w:t>獲得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達人級者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，得另頒予學習簽證證書，以茲獎勵。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依據中國文化大學全人學習護照實施辦法第六條規定，轉學生依轉入本校</w:t>
            </w:r>
            <w:proofErr w:type="gramStart"/>
            <w:r w:rsidRPr="0097079F">
              <w:rPr>
                <w:rFonts w:asciiTheme="minorEastAsia" w:hAnsiTheme="minorEastAsia" w:hint="eastAsia"/>
                <w:szCs w:val="28"/>
              </w:rPr>
              <w:t>之年級</w:t>
            </w:r>
            <w:proofErr w:type="gramEnd"/>
            <w:r w:rsidRPr="0097079F">
              <w:rPr>
                <w:rFonts w:asciiTheme="minorEastAsia" w:hAnsiTheme="minorEastAsia" w:hint="eastAsia"/>
                <w:szCs w:val="28"/>
              </w:rPr>
              <w:t>減免認證標準如下：</w:t>
            </w:r>
          </w:p>
          <w:p w:rsidR="003F4333" w:rsidRPr="00611AFE" w:rsidRDefault="003F4333" w:rsidP="003F4333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  <w:highlight w:val="yellow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轉入二年級上學期之轉學生，畢業時各項學習</w:t>
            </w:r>
            <w:proofErr w:type="gramStart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簽證均須達到</w:t>
            </w:r>
            <w:proofErr w:type="gramEnd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18點。</w:t>
            </w:r>
          </w:p>
          <w:p w:rsidR="003F4333" w:rsidRPr="00611AFE" w:rsidRDefault="003F4333" w:rsidP="003F4333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  <w:highlight w:val="yellow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轉入二年級下學期之轉學生，畢業時各項學習</w:t>
            </w:r>
            <w:proofErr w:type="gramStart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簽證均須達到</w:t>
            </w:r>
            <w:proofErr w:type="gramEnd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15點。</w:t>
            </w:r>
          </w:p>
          <w:p w:rsidR="003F4333" w:rsidRPr="00611AFE" w:rsidRDefault="003F4333" w:rsidP="003F4333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  <w:highlight w:val="yellow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轉入</w:t>
            </w:r>
            <w:proofErr w:type="gramStart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三</w:t>
            </w:r>
            <w:proofErr w:type="gramEnd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年級上學期之轉學生，畢業時各項學習</w:t>
            </w:r>
            <w:proofErr w:type="gramStart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簽證均須達到</w:t>
            </w:r>
            <w:proofErr w:type="gramEnd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12點。</w:t>
            </w:r>
          </w:p>
          <w:p w:rsidR="003F4333" w:rsidRPr="0097079F" w:rsidRDefault="003F4333" w:rsidP="003F4333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hAnsiTheme="minorEastAsia"/>
                <w:szCs w:val="28"/>
              </w:rPr>
            </w:pPr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轉入</w:t>
            </w:r>
            <w:proofErr w:type="gramStart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三</w:t>
            </w:r>
            <w:proofErr w:type="gramEnd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年級下學期之轉學生，畢業時各項學習</w:t>
            </w:r>
            <w:proofErr w:type="gramStart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簽證均須達到</w:t>
            </w:r>
            <w:proofErr w:type="gramEnd"/>
            <w:r w:rsidRPr="00611AFE">
              <w:rPr>
                <w:rFonts w:asciiTheme="minorEastAsia" w:hAnsiTheme="minorEastAsia" w:hint="eastAsia"/>
                <w:szCs w:val="28"/>
                <w:highlight w:val="yellow"/>
              </w:rPr>
              <w:t>9點。</w:t>
            </w:r>
          </w:p>
        </w:tc>
      </w:tr>
      <w:tr w:rsidR="003F4333" w:rsidRPr="00CD53DF" w:rsidTr="003F4333"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為激勵學生自主學習，本護照訂有獎勵措施鼓勵通過認證學生；獲獎名額及項目視當年度預算編列而訂，實行方式於每學期另行公告。</w:t>
            </w:r>
          </w:p>
        </w:tc>
      </w:tr>
      <w:tr w:rsidR="003F4333" w:rsidRPr="00CD53DF" w:rsidTr="0097079F">
        <w:trPr>
          <w:trHeight w:val="521"/>
        </w:trPr>
        <w:tc>
          <w:tcPr>
            <w:tcW w:w="357" w:type="pct"/>
          </w:tcPr>
          <w:p w:rsidR="003F4333" w:rsidRPr="00CD53DF" w:rsidRDefault="003F4333" w:rsidP="003F433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0" w:firstLine="0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4643" w:type="pct"/>
          </w:tcPr>
          <w:p w:rsidR="003F4333" w:rsidRPr="0097079F" w:rsidRDefault="003F4333" w:rsidP="00546E6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Theme="minorEastAsia" w:hAnsiTheme="minorEastAsia"/>
                <w:szCs w:val="28"/>
              </w:rPr>
            </w:pPr>
            <w:r w:rsidRPr="0097079F">
              <w:rPr>
                <w:rFonts w:asciiTheme="minorEastAsia" w:hAnsiTheme="minorEastAsia" w:hint="eastAsia"/>
                <w:szCs w:val="28"/>
              </w:rPr>
              <w:t>本要點經行政會議通過後實施；修正時亦同。</w:t>
            </w:r>
          </w:p>
        </w:tc>
      </w:tr>
    </w:tbl>
    <w:p w:rsidR="00990E2B" w:rsidRPr="0097079F" w:rsidRDefault="00990E2B" w:rsidP="0097079F"/>
    <w:sectPr w:rsidR="00990E2B" w:rsidRPr="0097079F" w:rsidSect="0097079F">
      <w:footerReference w:type="default" r:id="rId7"/>
      <w:pgSz w:w="11906" w:h="16838"/>
      <w:pgMar w:top="1134" w:right="1800" w:bottom="993" w:left="1800" w:header="851" w:footer="4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6A" w:rsidRDefault="00110D6A" w:rsidP="00FD73EF">
      <w:pPr>
        <w:spacing w:line="240" w:lineRule="auto"/>
      </w:pPr>
      <w:r>
        <w:separator/>
      </w:r>
    </w:p>
  </w:endnote>
  <w:endnote w:type="continuationSeparator" w:id="0">
    <w:p w:rsidR="00110D6A" w:rsidRDefault="00110D6A" w:rsidP="00FD7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7341"/>
      <w:docPartObj>
        <w:docPartGallery w:val="Page Numbers (Bottom of Page)"/>
        <w:docPartUnique/>
      </w:docPartObj>
    </w:sdtPr>
    <w:sdtEndPr/>
    <w:sdtContent>
      <w:p w:rsidR="00FD73EF" w:rsidRDefault="00FD73EF" w:rsidP="009707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A5" w:rsidRPr="009E0BA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6A" w:rsidRDefault="00110D6A" w:rsidP="00FD73EF">
      <w:pPr>
        <w:spacing w:line="240" w:lineRule="auto"/>
      </w:pPr>
      <w:r>
        <w:separator/>
      </w:r>
    </w:p>
  </w:footnote>
  <w:footnote w:type="continuationSeparator" w:id="0">
    <w:p w:rsidR="00110D6A" w:rsidRDefault="00110D6A" w:rsidP="00FD73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0CC"/>
    <w:multiLevelType w:val="hybridMultilevel"/>
    <w:tmpl w:val="9A4838DE"/>
    <w:lvl w:ilvl="0" w:tplc="DE2CE31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C542F"/>
    <w:multiLevelType w:val="hybridMultilevel"/>
    <w:tmpl w:val="CF4878E6"/>
    <w:lvl w:ilvl="0" w:tplc="98AA1E9C">
      <w:start w:val="1"/>
      <w:numFmt w:val="decimal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354424A9"/>
    <w:multiLevelType w:val="hybridMultilevel"/>
    <w:tmpl w:val="2B7A62BA"/>
    <w:lvl w:ilvl="0" w:tplc="B82034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C74E24"/>
    <w:multiLevelType w:val="hybridMultilevel"/>
    <w:tmpl w:val="F4CA7DC6"/>
    <w:lvl w:ilvl="0" w:tplc="0F14B032">
      <w:start w:val="1"/>
      <w:numFmt w:val="taiwaneseCountingThousand"/>
      <w:lvlText w:val="(%1)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A6E55"/>
    <w:multiLevelType w:val="hybridMultilevel"/>
    <w:tmpl w:val="26F295F8"/>
    <w:lvl w:ilvl="0" w:tplc="B7B64E6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A64997"/>
    <w:multiLevelType w:val="hybridMultilevel"/>
    <w:tmpl w:val="6C76849A"/>
    <w:lvl w:ilvl="0" w:tplc="98AA1E9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41928"/>
    <w:multiLevelType w:val="hybridMultilevel"/>
    <w:tmpl w:val="B332156A"/>
    <w:lvl w:ilvl="0" w:tplc="98AA1E9C">
      <w:start w:val="1"/>
      <w:numFmt w:val="decimal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7" w15:restartNumberingAfterBreak="0">
    <w:nsid w:val="72EB0255"/>
    <w:multiLevelType w:val="hybridMultilevel"/>
    <w:tmpl w:val="DD849402"/>
    <w:lvl w:ilvl="0" w:tplc="D3DC40A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33"/>
    <w:rsid w:val="00004DF9"/>
    <w:rsid w:val="00075A35"/>
    <w:rsid w:val="00110D6A"/>
    <w:rsid w:val="003F4333"/>
    <w:rsid w:val="00611AFE"/>
    <w:rsid w:val="0097079F"/>
    <w:rsid w:val="00990E2B"/>
    <w:rsid w:val="009E0BA5"/>
    <w:rsid w:val="00A43A1B"/>
    <w:rsid w:val="00A60524"/>
    <w:rsid w:val="00F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94E023-EB31-4938-A3E6-340F236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33"/>
    <w:pPr>
      <w:widowControl w:val="0"/>
      <w:spacing w:line="4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項目二"/>
    <w:basedOn w:val="a"/>
    <w:link w:val="a4"/>
    <w:uiPriority w:val="34"/>
    <w:qFormat/>
    <w:rsid w:val="003F4333"/>
    <w:pPr>
      <w:ind w:leftChars="200" w:left="480"/>
    </w:pPr>
  </w:style>
  <w:style w:type="table" w:styleId="a5">
    <w:name w:val="Table Grid"/>
    <w:basedOn w:val="a1"/>
    <w:uiPriority w:val="39"/>
    <w:rsid w:val="003F4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F4333"/>
    <w:rPr>
      <w:color w:val="0563C1" w:themeColor="hyperlink"/>
      <w:u w:val="single"/>
    </w:rPr>
  </w:style>
  <w:style w:type="character" w:customStyle="1" w:styleId="a4">
    <w:name w:val="清單段落 字元"/>
    <w:aliases w:val="項目二 字元"/>
    <w:link w:val="a3"/>
    <w:uiPriority w:val="34"/>
    <w:locked/>
    <w:rsid w:val="003F4333"/>
  </w:style>
  <w:style w:type="paragraph" w:styleId="a7">
    <w:name w:val="header"/>
    <w:basedOn w:val="a"/>
    <w:link w:val="a8"/>
    <w:uiPriority w:val="99"/>
    <w:unhideWhenUsed/>
    <w:rsid w:val="00FD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73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73E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73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7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first</cp:lastModifiedBy>
  <cp:revision>3</cp:revision>
  <cp:lastPrinted>2019-04-22T02:05:00Z</cp:lastPrinted>
  <dcterms:created xsi:type="dcterms:W3CDTF">2019-06-05T01:35:00Z</dcterms:created>
  <dcterms:modified xsi:type="dcterms:W3CDTF">2019-06-05T02:05:00Z</dcterms:modified>
</cp:coreProperties>
</file>